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0C1A" w14:textId="77777777" w:rsidR="00B47614" w:rsidRDefault="00B47614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pt-PT" w:eastAsia="es-MX"/>
        </w:rPr>
      </w:pPr>
    </w:p>
    <w:p w14:paraId="7D0C5935" w14:textId="2B37C17B" w:rsidR="00B47614" w:rsidRPr="009C56E7" w:rsidRDefault="00B47614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b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9C56E7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pt-PT" w:eastAsia="es-MX"/>
        </w:rPr>
        <w:t>Comunicado de Prensa n</w:t>
      </w:r>
      <w:r w:rsidRPr="009C56E7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ú</w:t>
      </w:r>
      <w:r w:rsidRPr="009C56E7"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it-IT" w:eastAsia="es-MX"/>
        </w:rPr>
        <w:t>mero 32</w:t>
      </w:r>
      <w:r>
        <w:rPr>
          <w:rFonts w:ascii="Times New Roman" w:eastAsia="Arial Unicode MS" w:hAnsi="Times New Roman" w:cs="Arial Unicode MS"/>
          <w:b/>
          <w:bCs/>
          <w:color w:val="7F7F7F"/>
          <w:kern w:val="1"/>
          <w:sz w:val="22"/>
          <w:szCs w:val="22"/>
          <w:u w:color="7F7F7F"/>
          <w:bdr w:val="nil"/>
          <w:lang w:val="it-IT" w:eastAsia="es-MX"/>
        </w:rPr>
        <w:t>7</w:t>
      </w:r>
    </w:p>
    <w:p w14:paraId="5DC74C86" w14:textId="078C66B1" w:rsidR="00B47614" w:rsidRPr="009C56E7" w:rsidRDefault="00B47614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9C56E7"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Ciudad de México, a </w:t>
      </w:r>
      <w:r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sábado 15 </w:t>
      </w:r>
      <w:r w:rsidRPr="009C56E7"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>de octubre de 2016</w:t>
      </w:r>
    </w:p>
    <w:p w14:paraId="41CF9DB3" w14:textId="77777777" w:rsidR="00B47614" w:rsidRPr="009C56E7" w:rsidRDefault="0062568F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hyperlink r:id="rId8" w:history="1">
        <w:r w:rsidR="00B47614" w:rsidRPr="009C56E7">
          <w:rPr>
            <w:rFonts w:ascii="Times New Roman" w:eastAsia="Arial Unicode MS" w:hAnsi="Times New Roman" w:cs="Arial Unicode MS"/>
            <w:bCs/>
            <w:color w:val="000000"/>
            <w:kern w:val="1"/>
            <w:sz w:val="22"/>
            <w:szCs w:val="22"/>
            <w:u w:val="single" w:color="7F7F7F"/>
            <w:bdr w:val="nil"/>
            <w:lang w:val="es-ES_tradnl" w:eastAsia="es-MX"/>
          </w:rPr>
          <w:t>www.gob.mx/habitat3</w:t>
        </w:r>
      </w:hyperlink>
      <w:r w:rsidR="00B47614" w:rsidRPr="009C56E7">
        <w:rPr>
          <w:rFonts w:ascii="Times New Roman" w:eastAsia="Arial Unicode MS" w:hAnsi="Times New Roman" w:cs="Arial Unicode MS"/>
          <w:bCs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 </w:t>
      </w:r>
    </w:p>
    <w:p w14:paraId="54E1C0E1" w14:textId="77777777" w:rsidR="00B47614" w:rsidRPr="009C56E7" w:rsidRDefault="00B47614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right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9C56E7">
        <w:rPr>
          <w:rFonts w:ascii="Times New Roman" w:eastAsia="Arial Unicode MS" w:hAnsi="Times New Roman" w:cs="Arial Unicode MS"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@SEDATU_mx </w:t>
      </w:r>
    </w:p>
    <w:p w14:paraId="73B1644E" w14:textId="77777777" w:rsidR="00B47614" w:rsidRPr="009C56E7" w:rsidRDefault="00B47614" w:rsidP="00B47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33"/>
        </w:tabs>
        <w:suppressAutoHyphens/>
        <w:jc w:val="both"/>
        <w:rPr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  <w:bdr w:val="nil"/>
          <w:lang w:val="es-ES_tradnl" w:eastAsia="es-MX"/>
        </w:rPr>
      </w:pPr>
      <w:r w:rsidRPr="009C56E7">
        <w:rPr>
          <w:rFonts w:ascii="Times New Roman" w:eastAsia="Arial Unicode MS" w:hAnsi="Times New Roman" w:cs="Arial Unicode MS"/>
          <w:color w:val="7F7F7F"/>
          <w:kern w:val="1"/>
          <w:sz w:val="22"/>
          <w:szCs w:val="22"/>
          <w:u w:color="7F7F7F"/>
          <w:bdr w:val="nil"/>
          <w:lang w:val="es-ES_tradnl" w:eastAsia="es-MX"/>
        </w:rPr>
        <w:t xml:space="preserve"> </w:t>
      </w:r>
    </w:p>
    <w:p w14:paraId="17BAFD42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Corbel" w:eastAsia="Corbel" w:hAnsi="Corbel" w:cs="Corbel"/>
          <w:b/>
          <w:bCs/>
          <w:color w:val="808080"/>
          <w:sz w:val="33"/>
          <w:szCs w:val="33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b/>
          <w:bCs/>
          <w:color w:val="808080"/>
          <w:sz w:val="33"/>
          <w:szCs w:val="33"/>
          <w:u w:color="808080"/>
          <w:bdr w:val="nil"/>
          <w:lang w:val="es-ES_tradnl" w:eastAsia="es-MX"/>
        </w:rPr>
        <w:t>Con la Ley de Asentamientos Humanos se articularán acciones transversales para el desarrollo urbano del país: SEDATU</w:t>
      </w:r>
    </w:p>
    <w:p w14:paraId="410894C6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014051DD" w14:textId="77777777" w:rsidR="00B47614" w:rsidRPr="00B47614" w:rsidRDefault="00B47614" w:rsidP="00B47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El Derecho a la Ciudad, la Igualdad de Género y la Accesibilidad Universal son los tres principales ejes de esta ley, dijo el Titular de la Coordinación Metropolitana de la SEDATU</w:t>
      </w:r>
    </w:p>
    <w:p w14:paraId="1B914E46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307495BE" w14:textId="127C9972" w:rsidR="00B47614" w:rsidRPr="00B47614" w:rsidRDefault="00B47614" w:rsidP="00B47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La inclusión activa de la ciudadan</w:t>
      </w:r>
      <w:r w:rsidR="00112039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í</w:t>
      </w:r>
      <w:r w:rsidRPr="00B47614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a servirá para la conformación de proyectos, así como para la vigilancia y seguimiento de cada una de las acciones</w:t>
      </w:r>
    </w:p>
    <w:p w14:paraId="03A175DA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</w:p>
    <w:p w14:paraId="6432E387" w14:textId="77777777" w:rsidR="00B47614" w:rsidRPr="00B47614" w:rsidRDefault="00B47614" w:rsidP="00B47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b/>
          <w:bCs/>
          <w:i/>
          <w:iCs/>
          <w:color w:val="050505"/>
          <w:u w:color="808080"/>
          <w:bdr w:val="nil"/>
          <w:lang w:val="es-ES_tradnl" w:eastAsia="es-MX"/>
        </w:rPr>
        <w:t>La nueva Ley responde a la Nueva Agenda Urbana que se discute en la Cumbre de Hábitat III, que se realizará en Quito, Ecuador</w:t>
      </w:r>
    </w:p>
    <w:p w14:paraId="0F4FA480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</w:p>
    <w:p w14:paraId="7D667440" w14:textId="767422A1" w:rsidR="00B47614" w:rsidRPr="00B47614" w:rsidRDefault="00E333DA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L</w:t>
      </w:r>
      <w:bookmarkStart w:id="0" w:name="_GoBack"/>
      <w:bookmarkEnd w:id="0"/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a Ley General de Asentamientos Humanos, Ordenamiento Territorial y Desarrollo Urbano aprobada por el Congreso de la Unión se incorpora </w:t>
      </w:r>
      <w:r w:rsid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-</w:t>
      </w:r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por primera vez en la legislación nacional</w:t>
      </w:r>
      <w:r w:rsid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-</w:t>
      </w:r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el principio de </w:t>
      </w:r>
      <w:r w:rsidR="00B47614" w:rsidRPr="00B47614">
        <w:rPr>
          <w:rFonts w:ascii="Corbel" w:eastAsia="Corbel" w:hAnsi="Corbel" w:cs="Corbel"/>
          <w:b/>
          <w:color w:val="050505"/>
          <w:sz w:val="28"/>
          <w:szCs w:val="28"/>
          <w:u w:color="808080"/>
          <w:bdr w:val="nil"/>
          <w:lang w:val="es-ES_tradnl" w:eastAsia="es-MX"/>
        </w:rPr>
        <w:t>Derecho a la Ciudad</w:t>
      </w:r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, con l</w:t>
      </w:r>
      <w:r w:rsid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o</w:t>
      </w:r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 que “se garantiza el ejercicio pleno de los derechos humanos y los derechos en condiciones de igualdad; promueve la cohesión social, impide la discriminación, la segregación o marginación de grupos o individuos”, así lo señaló el </w:t>
      </w:r>
      <w:r w:rsid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titular de </w:t>
      </w:r>
      <w:r w:rsidR="00B47614"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Coordinación Metropolitana de la Secretaría de Desarrollo Agrario Territorial y Urbano (SEDATU), Francisco Covarrubias Gaytán. </w:t>
      </w:r>
    </w:p>
    <w:p w14:paraId="5E86AC77" w14:textId="20616B16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Experto en desarrollo urbano y participante en los tres Foros de Hábitat que se han realizado en el mundo, el arquitecto Covarrubias explicó que esta Ley corresponde a  una visión de vanguardia en la que se incluye la perspectiva de género y la inclusión, para construir ciudades con mayor igualdad entre mujeres y hombres y con un diseño universal que facilite la movilidad sustentable de toda la población.</w:t>
      </w:r>
    </w:p>
    <w:p w14:paraId="3C85465B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lastRenderedPageBreak/>
        <w:t>“Se podrán articular acciones transversales en aspectos territoriales, urbanos y rurales que encaminan a México a una real modernidad en el tema”, afirmó luego de que el Senado de la República, aprobó el pasado jueves 13 de octubre la minuta enviada por la Cámara de Diputados.</w:t>
      </w:r>
    </w:p>
    <w:p w14:paraId="5FE8D29F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La Ley, agregó, responde a los temas de la Nueva Agenda Urbana que se discutirán en los próximos días en el Foro de Hábitat III y establece las bases para la conformación de ciudades compactas, seguras, incluyentes, sustentables y resilientes.</w:t>
      </w:r>
    </w:p>
    <w:p w14:paraId="01E4F522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>“Yo creo que la Cumbre de Hábitat III, que se realizará en Quito, Ecuador, permitirá tomar la visión de que en el caso de México estamos trabajando muy cercanos a los principios establecidos por las Naciones Unidas con relación a la determinación de una nueva Agenda Urbana, pero además hay que destacar la voluntad política para modernizar la instrumentación jurídica y dar mayor certidumbre a los habitantes; ubicar la resiliencia para prever cualquier eventualidad, y además establecer líneas muy importantes para el desarrollo urbano del país”, dijo.</w:t>
      </w:r>
    </w:p>
    <w:p w14:paraId="479CC4E3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El Arquitecto destacó otros elementos que establece la Ley como la gobernanza metropolitana, y la participación activa de la ciudadanía, la cual servirá para la conformación de proyectos que generen mejores entornos urbanos y sociales en todo el país, así como para la vigilancia y el seguimiento de cada una de las acciones que se emprendan. </w:t>
      </w:r>
    </w:p>
    <w:p w14:paraId="643A0065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both"/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</w:pPr>
      <w:r w:rsidRPr="00B47614">
        <w:rPr>
          <w:rFonts w:ascii="Corbel" w:eastAsia="Corbel" w:hAnsi="Corbel" w:cs="Corbel"/>
          <w:color w:val="050505"/>
          <w:sz w:val="28"/>
          <w:szCs w:val="28"/>
          <w:u w:color="808080"/>
          <w:bdr w:val="nil"/>
          <w:lang w:val="es-ES_tradnl" w:eastAsia="es-MX"/>
        </w:rPr>
        <w:t xml:space="preserve">“Se busca, desde luego, la participación tanto en la formulación, el seguimiento y la evaluación de todos los elementos que constituyen los planes, de tal manera que habrá instrumentos de evaluación que darán seguimiento a las acciones de materia urbana y materia territorial”, señaló. </w:t>
      </w:r>
    </w:p>
    <w:p w14:paraId="202E21EC" w14:textId="77777777" w:rsidR="00B47614" w:rsidRPr="00B47614" w:rsidRDefault="00B47614" w:rsidP="00B47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76" w:lineRule="auto"/>
        <w:jc w:val="center"/>
        <w:rPr>
          <w:rFonts w:ascii="Corbel" w:eastAsia="Corbel" w:hAnsi="Corbel" w:cs="Corbel"/>
          <w:b/>
          <w:bCs/>
          <w:color w:val="050505"/>
          <w:sz w:val="28"/>
          <w:szCs w:val="28"/>
          <w:u w:color="808080"/>
          <w:bdr w:val="nil"/>
          <w:lang w:val="es-ES_tradnl" w:eastAsia="es-MX"/>
        </w:rPr>
      </w:pPr>
      <w:proofErr w:type="gramStart"/>
      <w:r w:rsidRPr="00B47614">
        <w:rPr>
          <w:rFonts w:ascii="Corbel" w:eastAsia="Corbel" w:hAnsi="Corbel" w:cs="Corbel"/>
          <w:b/>
          <w:bCs/>
          <w:color w:val="050505"/>
          <w:sz w:val="28"/>
          <w:szCs w:val="28"/>
          <w:u w:color="808080"/>
          <w:bdr w:val="nil"/>
          <w:lang w:val="es-ES_tradnl" w:eastAsia="es-MX"/>
        </w:rPr>
        <w:t>oooOOooo</w:t>
      </w:r>
      <w:proofErr w:type="gramEnd"/>
    </w:p>
    <w:p w14:paraId="448F0416" w14:textId="77777777" w:rsidR="000455FD" w:rsidRDefault="000455FD"/>
    <w:sectPr w:rsidR="000455FD" w:rsidSect="0069100E">
      <w:headerReference w:type="default" r:id="rId9"/>
      <w:footerReference w:type="default" r:id="rId10"/>
      <w:pgSz w:w="12240" w:h="1584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51B8" w14:textId="77777777" w:rsidR="0062568F" w:rsidRDefault="0062568F" w:rsidP="00D02237">
      <w:r>
        <w:separator/>
      </w:r>
    </w:p>
  </w:endnote>
  <w:endnote w:type="continuationSeparator" w:id="0">
    <w:p w14:paraId="1E69A76C" w14:textId="77777777" w:rsidR="0062568F" w:rsidRDefault="0062568F" w:rsidP="00D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BA8" w14:textId="77777777" w:rsidR="00B47614" w:rsidRPr="00B47614" w:rsidRDefault="00B47614" w:rsidP="00B47614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DIRECCIÓN GENERAL DE COMUNICACIÓN SOCIAL  </w:t>
    </w:r>
  </w:p>
  <w:p w14:paraId="7755F6B1" w14:textId="77777777" w:rsidR="00B47614" w:rsidRPr="00B47614" w:rsidRDefault="00B47614" w:rsidP="00B47614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Paseo de la Reforma 99, piso 18, colonia Tabacalera </w:t>
    </w:r>
  </w:p>
  <w:p w14:paraId="37E5DC43" w14:textId="77777777" w:rsidR="00B47614" w:rsidRPr="00B47614" w:rsidRDefault="00B47614" w:rsidP="00B47614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Ciudad de México, C.P. 06030 | Teléfono (55) 6820 9700 ext. 11013   </w:t>
    </w:r>
  </w:p>
  <w:p w14:paraId="14F5875A" w14:textId="1208930F" w:rsidR="00B47614" w:rsidRPr="00B47614" w:rsidRDefault="00B47614" w:rsidP="00B47614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000000"/>
        <w:sz w:val="20"/>
        <w:szCs w:val="20"/>
        <w:u w:color="00000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>www.gob.mx/sedatu | prensa@sedatu.gob.mx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90E41" w14:textId="77777777" w:rsidR="0062568F" w:rsidRDefault="0062568F" w:rsidP="00D02237">
      <w:r>
        <w:separator/>
      </w:r>
    </w:p>
  </w:footnote>
  <w:footnote w:type="continuationSeparator" w:id="0">
    <w:p w14:paraId="4795F513" w14:textId="77777777" w:rsidR="0062568F" w:rsidRDefault="0062568F" w:rsidP="00D0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4B23" w14:textId="77777777" w:rsidR="00D02237" w:rsidRDefault="0069100E" w:rsidP="009F2E58">
    <w:pPr>
      <w:pStyle w:val="Encabezado"/>
      <w:ind w:left="851"/>
    </w:pPr>
    <w:r>
      <w:rPr>
        <w:noProof/>
        <w:lang w:eastAsia="es-MX"/>
      </w:rPr>
      <w:drawing>
        <wp:inline distT="0" distB="0" distL="0" distR="0" wp14:anchorId="0723CB46" wp14:editId="0339F66E">
          <wp:extent cx="4456328" cy="1055937"/>
          <wp:effectExtent l="0" t="0" r="0" b="11430"/>
          <wp:docPr id="3" name="Imagen 3" descr="Macintosh HD:Users:sedatu:Desktop:Captura de pantalla 2016-10-14 a las 19.55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datu:Desktop:Captura de pantalla 2016-10-14 a las 19.55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630" cy="105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2EA4"/>
    <w:multiLevelType w:val="hybridMultilevel"/>
    <w:tmpl w:val="ED8E07AC"/>
    <w:numStyleLink w:val="Estiloimportado1"/>
  </w:abstractNum>
  <w:abstractNum w:abstractNumId="1">
    <w:nsid w:val="2EF763B9"/>
    <w:multiLevelType w:val="hybridMultilevel"/>
    <w:tmpl w:val="ED8E07AC"/>
    <w:styleLink w:val="Estiloimportado1"/>
    <w:lvl w:ilvl="0" w:tplc="91BC85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CBF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CFD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5B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AF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A41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66A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AC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48E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E045B4"/>
    <w:multiLevelType w:val="hybridMultilevel"/>
    <w:tmpl w:val="A3D82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423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E0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40AB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4E8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4F9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234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67A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2B4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7"/>
    <w:rsid w:val="000455FD"/>
    <w:rsid w:val="000B1685"/>
    <w:rsid w:val="00112039"/>
    <w:rsid w:val="003A1DF1"/>
    <w:rsid w:val="0062568F"/>
    <w:rsid w:val="0069100E"/>
    <w:rsid w:val="006B5A54"/>
    <w:rsid w:val="009D0A25"/>
    <w:rsid w:val="009F2E58"/>
    <w:rsid w:val="00B47614"/>
    <w:rsid w:val="00D02237"/>
    <w:rsid w:val="00E22B4D"/>
    <w:rsid w:val="00E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2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  <w:style w:type="numbering" w:customStyle="1" w:styleId="Estiloimportado1">
    <w:name w:val="Estilo importado 1"/>
    <w:rsid w:val="00B4761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  <w:style w:type="numbering" w:customStyle="1" w:styleId="Estiloimportado1">
    <w:name w:val="Estilo importado 1"/>
    <w:rsid w:val="00B476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habitat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sedatu</dc:creator>
  <cp:lastModifiedBy>Marco Antonio Aguilar Gutiérrez</cp:lastModifiedBy>
  <cp:revision>3</cp:revision>
  <cp:lastPrinted>2016-10-15T16:21:00Z</cp:lastPrinted>
  <dcterms:created xsi:type="dcterms:W3CDTF">2016-10-15T16:21:00Z</dcterms:created>
  <dcterms:modified xsi:type="dcterms:W3CDTF">2016-10-15T17:02:00Z</dcterms:modified>
</cp:coreProperties>
</file>